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2E8" w:rsidRPr="004832E8" w:rsidRDefault="004832E8" w:rsidP="004832E8">
      <w:pPr>
        <w:spacing w:after="0" w:line="240" w:lineRule="auto"/>
        <w:rPr>
          <w:rFonts w:ascii="Times New Roman" w:eastAsia="Times New Roman" w:hAnsi="Times New Roman" w:cs="Times New Roman"/>
          <w:sz w:val="24"/>
          <w:szCs w:val="24"/>
          <w:lang w:eastAsia="tr-TR"/>
        </w:rPr>
      </w:pPr>
      <w:r w:rsidRPr="004832E8">
        <w:rPr>
          <w:rFonts w:ascii="Verdana" w:eastAsia="Times New Roman" w:hAnsi="Verdana" w:cs="Times New Roman"/>
          <w:b/>
          <w:bCs/>
          <w:color w:val="000000"/>
          <w:sz w:val="20"/>
          <w:szCs w:val="20"/>
          <w:lang w:eastAsia="tr-TR"/>
        </w:rPr>
        <w:t>2. Hukuk Dairesi         2016/10328 E.  ,  2018/2053 K.</w:t>
      </w:r>
    </w:p>
    <w:p w:rsidR="004832E8" w:rsidRPr="004832E8" w:rsidRDefault="004832E8" w:rsidP="004832E8">
      <w:pPr>
        <w:numPr>
          <w:ilvl w:val="0"/>
          <w:numId w:val="1"/>
        </w:numPr>
        <w:spacing w:before="100" w:beforeAutospacing="1" w:after="100" w:afterAutospacing="1" w:line="240" w:lineRule="auto"/>
        <w:rPr>
          <w:rFonts w:ascii="Verdana" w:eastAsia="Times New Roman" w:hAnsi="Verdana" w:cs="Times New Roman"/>
          <w:b/>
          <w:bCs/>
          <w:color w:val="000000"/>
          <w:sz w:val="12"/>
          <w:szCs w:val="12"/>
          <w:lang w:eastAsia="tr-TR"/>
        </w:rPr>
      </w:pPr>
    </w:p>
    <w:p w:rsidR="004832E8" w:rsidRPr="004832E8" w:rsidRDefault="004832E8" w:rsidP="004832E8">
      <w:pPr>
        <w:spacing w:after="0" w:line="240" w:lineRule="auto"/>
        <w:rPr>
          <w:rFonts w:ascii="Times New Roman" w:eastAsia="Times New Roman" w:hAnsi="Times New Roman" w:cs="Times New Roman"/>
          <w:sz w:val="24"/>
          <w:szCs w:val="24"/>
          <w:lang w:eastAsia="tr-TR"/>
        </w:rPr>
      </w:pPr>
      <w:r w:rsidRPr="004832E8">
        <w:rPr>
          <w:rFonts w:ascii="Times New Roman" w:eastAsia="Times New Roman" w:hAnsi="Times New Roman" w:cs="Times New Roman"/>
          <w:color w:val="000000"/>
          <w:sz w:val="27"/>
          <w:szCs w:val="27"/>
          <w:lang w:eastAsia="tr-TR"/>
        </w:rPr>
        <w:br/>
      </w:r>
      <w:r w:rsidRPr="004832E8">
        <w:rPr>
          <w:rFonts w:ascii="Verdana" w:eastAsia="Times New Roman" w:hAnsi="Verdana" w:cs="Times New Roman"/>
          <w:b/>
          <w:bCs/>
          <w:color w:val="000000"/>
          <w:sz w:val="20"/>
          <w:szCs w:val="20"/>
          <w:lang w:eastAsia="tr-TR"/>
        </w:rPr>
        <w:t>"İçtihat Metni"</w:t>
      </w:r>
    </w:p>
    <w:p w:rsidR="004832E8" w:rsidRDefault="004832E8" w:rsidP="004832E8">
      <w:pPr>
        <w:spacing w:before="100" w:beforeAutospacing="1" w:after="100" w:afterAutospacing="1" w:line="240" w:lineRule="auto"/>
        <w:rPr>
          <w:rFonts w:ascii="Verdana" w:eastAsia="Times New Roman" w:hAnsi="Verdana" w:cs="Times New Roman"/>
          <w:color w:val="000000"/>
          <w:sz w:val="20"/>
          <w:szCs w:val="20"/>
          <w:lang w:eastAsia="tr-TR"/>
        </w:rPr>
      </w:pPr>
      <w:proofErr w:type="gramStart"/>
      <w:r w:rsidRPr="004832E8">
        <w:rPr>
          <w:rFonts w:ascii="Verdana" w:eastAsia="Times New Roman" w:hAnsi="Verdana" w:cs="Times New Roman"/>
          <w:color w:val="000000"/>
          <w:sz w:val="20"/>
          <w:szCs w:val="20"/>
          <w:lang w:eastAsia="tr-TR"/>
        </w:rPr>
        <w:t>MAHKEMESİ :Aile</w:t>
      </w:r>
      <w:proofErr w:type="gramEnd"/>
      <w:r w:rsidRPr="004832E8">
        <w:rPr>
          <w:rFonts w:ascii="Verdana" w:eastAsia="Times New Roman" w:hAnsi="Verdana" w:cs="Times New Roman"/>
          <w:color w:val="000000"/>
          <w:sz w:val="20"/>
          <w:szCs w:val="20"/>
          <w:lang w:eastAsia="tr-TR"/>
        </w:rPr>
        <w:t xml:space="preserve"> Mahkemesi</w:t>
      </w:r>
      <w:r w:rsidRPr="004832E8">
        <w:rPr>
          <w:rFonts w:ascii="Verdana" w:eastAsia="Times New Roman" w:hAnsi="Verdana" w:cs="Times New Roman"/>
          <w:color w:val="000000"/>
          <w:sz w:val="20"/>
          <w:szCs w:val="20"/>
          <w:lang w:eastAsia="tr-TR"/>
        </w:rPr>
        <w:br/>
        <w:t>DAVA TÜRÜ : Boşanma</w:t>
      </w:r>
      <w:r w:rsidRPr="004832E8">
        <w:rPr>
          <w:rFonts w:ascii="Verdana" w:eastAsia="Times New Roman" w:hAnsi="Verdana" w:cs="Times New Roman"/>
          <w:color w:val="000000"/>
          <w:sz w:val="20"/>
          <w:szCs w:val="20"/>
          <w:lang w:eastAsia="tr-TR"/>
        </w:rPr>
        <w:br/>
      </w:r>
      <w:r w:rsidRPr="004832E8">
        <w:rPr>
          <w:rFonts w:ascii="Verdana" w:eastAsia="Times New Roman" w:hAnsi="Verdana" w:cs="Times New Roman"/>
          <w:color w:val="000000"/>
          <w:sz w:val="20"/>
          <w:szCs w:val="20"/>
          <w:lang w:eastAsia="tr-TR"/>
        </w:rPr>
        <w:br/>
        <w:t>Taraflar arasındaki davanın yapılan muhakemesi sonunda mahalli mahkemece verilen, yukarıda tarihi ve numarası gösterilen hüküm taraflarca temyiz edilmekle, evrak okunup gereği görüşülüp düşünüldü:</w:t>
      </w:r>
      <w:r w:rsidRPr="004832E8">
        <w:rPr>
          <w:rFonts w:ascii="Verdana" w:eastAsia="Times New Roman" w:hAnsi="Verdana" w:cs="Times New Roman"/>
          <w:color w:val="000000"/>
          <w:sz w:val="20"/>
          <w:szCs w:val="20"/>
          <w:lang w:eastAsia="tr-TR"/>
        </w:rPr>
        <w:br/>
        <w:t>Dava; hayata kast, pek kötü veya onur kırıcı davranış, (TMK m.162), suç işleme ve haysiyetsiz hayat sürme (TMK m. 163) belirtilen özel boşanma sebepleri ile bu kabul edilmediği takdirde evlilik birliğinin sarsılması (TMK m.166/1) sebebiyle boşanma talebine ilişkindir. Hayata kast, pek kötü veya onur kırıcı davranış, suç işleme ve haysiyetsiz hayat sürme fiilleri özel boşanma sebebi yanında genel boşanma (TMK m. 166/1) sebebi de oluşturur. Böyle bir durum karşısında kalan eş dilerse bu özel sebeplerin yanında genel sebebe, dilerse birine veya birkaçına birlikte dayanarak boşanma talep edebilir. Davacı öncelikle özel boşanma sebeplerine dayanarak boşanma davası açmış olduğundan, öncelikle özel boşanma sebeplerinin bulunup bulunmadığı belirlenmeli, özel sebep varsa, bu sebebe dayanılarak özel boşanma sebeplerinin gerçekleşmemesi halinde, deliller genel boşanma sebebi (TMK m. 166/1-2) çerçevesinde değerlendirilerek sonucuna göre karar verilmelidir. Toplanan deliller öncelikle özel boşanma sebepleri bakımından değerlendirilip, sonucu uyarınca karar verilmesi gerekirken, bu husus gözetilmeden yazılı şekilde hüküm kurulması doğru bulunmamış ve bozmayı gerektirmiştir.</w:t>
      </w:r>
      <w:r w:rsidRPr="004832E8">
        <w:rPr>
          <w:rFonts w:ascii="Verdana" w:eastAsia="Times New Roman" w:hAnsi="Verdana" w:cs="Times New Roman"/>
          <w:color w:val="000000"/>
          <w:sz w:val="20"/>
          <w:szCs w:val="20"/>
          <w:lang w:eastAsia="tr-TR"/>
        </w:rPr>
        <w:br/>
        <w:t>SONUÇ: Temyiz edilen hükmün yukarıda gösterilen sebeple BOZULMASINA, bozma sebebine göre tarafların diğer temyiz itirazlarının şimdilik incelenmesine yer olmadığına, temyiz peşin harcının istek halinde yatırana geri verilmesine, işbu kararın tebliğinden itibaren 15 gün içinde karar düzeltme yolu açık olmak üzere oybirliğiyle karar verildi. 15.02.2018 (Per.)</w:t>
      </w:r>
    </w:p>
    <w:p w:rsidR="004E0816" w:rsidRDefault="004E0816" w:rsidP="004832E8">
      <w:pPr>
        <w:spacing w:before="100" w:beforeAutospacing="1" w:after="100" w:afterAutospacing="1" w:line="240" w:lineRule="auto"/>
        <w:rPr>
          <w:rFonts w:ascii="Verdana" w:eastAsia="Times New Roman" w:hAnsi="Verdana" w:cs="Times New Roman"/>
          <w:color w:val="000000"/>
          <w:sz w:val="20"/>
          <w:szCs w:val="20"/>
          <w:lang w:eastAsia="tr-TR"/>
        </w:rPr>
      </w:pPr>
    </w:p>
    <w:p w:rsidR="004E0816" w:rsidRPr="004E0816" w:rsidRDefault="004E0816" w:rsidP="004E0816">
      <w:pPr>
        <w:spacing w:after="0" w:line="240" w:lineRule="auto"/>
        <w:rPr>
          <w:rFonts w:ascii="Times New Roman" w:eastAsia="Times New Roman" w:hAnsi="Times New Roman" w:cs="Times New Roman"/>
          <w:sz w:val="24"/>
          <w:szCs w:val="24"/>
          <w:lang w:eastAsia="tr-TR"/>
        </w:rPr>
      </w:pPr>
      <w:r w:rsidRPr="004E0816">
        <w:rPr>
          <w:rFonts w:ascii="Verdana" w:eastAsia="Times New Roman" w:hAnsi="Verdana" w:cs="Times New Roman"/>
          <w:b/>
          <w:bCs/>
          <w:color w:val="000000"/>
          <w:sz w:val="20"/>
          <w:szCs w:val="20"/>
          <w:lang w:eastAsia="tr-TR"/>
        </w:rPr>
        <w:t>2. Hukuk Dairesi         2016/9500 E.  ,  2018/593 K.</w:t>
      </w:r>
    </w:p>
    <w:p w:rsidR="004E0816" w:rsidRPr="004E0816" w:rsidRDefault="004E0816" w:rsidP="004E0816">
      <w:pPr>
        <w:numPr>
          <w:ilvl w:val="0"/>
          <w:numId w:val="2"/>
        </w:numPr>
        <w:spacing w:before="100" w:beforeAutospacing="1" w:after="100" w:afterAutospacing="1" w:line="240" w:lineRule="auto"/>
        <w:rPr>
          <w:rFonts w:ascii="Verdana" w:eastAsia="Times New Roman" w:hAnsi="Verdana" w:cs="Times New Roman"/>
          <w:b/>
          <w:bCs/>
          <w:color w:val="000000"/>
          <w:sz w:val="12"/>
          <w:szCs w:val="12"/>
          <w:lang w:eastAsia="tr-TR"/>
        </w:rPr>
      </w:pPr>
    </w:p>
    <w:p w:rsidR="004E0816" w:rsidRPr="004E0816" w:rsidRDefault="004E0816" w:rsidP="004E0816">
      <w:pPr>
        <w:spacing w:after="0" w:line="240" w:lineRule="auto"/>
        <w:rPr>
          <w:rFonts w:ascii="Times New Roman" w:eastAsia="Times New Roman" w:hAnsi="Times New Roman" w:cs="Times New Roman"/>
          <w:sz w:val="24"/>
          <w:szCs w:val="24"/>
          <w:lang w:eastAsia="tr-TR"/>
        </w:rPr>
      </w:pPr>
      <w:r w:rsidRPr="004E0816">
        <w:rPr>
          <w:rFonts w:ascii="Times New Roman" w:eastAsia="Times New Roman" w:hAnsi="Times New Roman" w:cs="Times New Roman"/>
          <w:color w:val="000000"/>
          <w:sz w:val="27"/>
          <w:szCs w:val="27"/>
          <w:lang w:eastAsia="tr-TR"/>
        </w:rPr>
        <w:br/>
      </w:r>
      <w:r w:rsidRPr="004E0816">
        <w:rPr>
          <w:rFonts w:ascii="Verdana" w:eastAsia="Times New Roman" w:hAnsi="Verdana" w:cs="Times New Roman"/>
          <w:b/>
          <w:bCs/>
          <w:color w:val="000000"/>
          <w:sz w:val="20"/>
          <w:szCs w:val="20"/>
          <w:lang w:eastAsia="tr-TR"/>
        </w:rPr>
        <w:t>"İçtihat Metni"</w:t>
      </w:r>
    </w:p>
    <w:p w:rsidR="004E0816" w:rsidRPr="004E0816" w:rsidRDefault="004E0816" w:rsidP="004E0816">
      <w:pPr>
        <w:spacing w:before="100" w:beforeAutospacing="1" w:after="100" w:afterAutospacing="1" w:line="240" w:lineRule="auto"/>
        <w:rPr>
          <w:rFonts w:ascii="Times New Roman" w:eastAsia="Times New Roman" w:hAnsi="Times New Roman" w:cs="Times New Roman"/>
          <w:color w:val="000000"/>
          <w:sz w:val="27"/>
          <w:szCs w:val="27"/>
          <w:lang w:eastAsia="tr-TR"/>
        </w:rPr>
      </w:pPr>
      <w:r w:rsidRPr="004E0816">
        <w:rPr>
          <w:rFonts w:ascii="Verdana" w:eastAsia="Times New Roman" w:hAnsi="Verdana" w:cs="Times New Roman"/>
          <w:color w:val="000000"/>
          <w:sz w:val="20"/>
          <w:szCs w:val="20"/>
          <w:lang w:eastAsia="tr-TR"/>
        </w:rPr>
        <w:t>...</w:t>
      </w:r>
      <w:r w:rsidRPr="004E0816">
        <w:rPr>
          <w:rFonts w:ascii="Verdana" w:eastAsia="Times New Roman" w:hAnsi="Verdana" w:cs="Times New Roman"/>
          <w:color w:val="000000"/>
          <w:sz w:val="20"/>
          <w:szCs w:val="20"/>
          <w:lang w:eastAsia="tr-TR"/>
        </w:rPr>
        <w:br/>
      </w:r>
      <w:r w:rsidRPr="004E0816">
        <w:rPr>
          <w:rFonts w:ascii="Verdana" w:eastAsia="Times New Roman" w:hAnsi="Verdana" w:cs="Times New Roman"/>
          <w:color w:val="000000"/>
          <w:sz w:val="20"/>
          <w:szCs w:val="20"/>
          <w:lang w:eastAsia="tr-TR"/>
        </w:rPr>
        <w:br/>
        <w:t>Taraflar arasındaki davanın yapılan muhakemesi sonunda mahalli mahkemece verilen, yukarıda tarihi ve numarası gösterilen hüküm taraflarca temyiz edilmekle, evrak okunup gereği görüşülüp düşünüldü:</w:t>
      </w:r>
      <w:r w:rsidRPr="004E0816">
        <w:rPr>
          <w:rFonts w:ascii="Verdana" w:eastAsia="Times New Roman" w:hAnsi="Verdana" w:cs="Times New Roman"/>
          <w:color w:val="000000"/>
          <w:sz w:val="20"/>
          <w:szCs w:val="20"/>
          <w:lang w:eastAsia="tr-TR"/>
        </w:rPr>
        <w:br/>
        <w:t xml:space="preserve">Anayasanın 141/3. maddesi "Bütün mahkemelerin her türlü kararları gerekçeli olarak yazılır" buyurucu hükmünü içermektedir. </w:t>
      </w:r>
      <w:proofErr w:type="gramStart"/>
      <w:r w:rsidRPr="004E0816">
        <w:rPr>
          <w:rFonts w:ascii="Verdana" w:eastAsia="Times New Roman" w:hAnsi="Verdana" w:cs="Times New Roman"/>
          <w:color w:val="000000"/>
          <w:sz w:val="20"/>
          <w:szCs w:val="20"/>
          <w:lang w:eastAsia="tr-TR"/>
        </w:rPr>
        <w:t xml:space="preserve">Hukuk Muhakemeleri Kanununun 297. maddesinde de kararın kapsayacağı hususlar ayrıntılı biçimde belirtilmiş olup, bu maddenin 3. bendine göre, mahkeme kararlarında iki tarafın sav ve savunmalarının özeti, anlaştıkları ve anlaşamadıkları hususlar, çekişmeli konular hakkında toplanan deliller, delillerin tartışılması, ret ve üstün tutulma nedenleri, sabit görülen vakıalarda bunlardan çıkarılan sonuç ve hukuki sebebin açıkça gösterilmesi zorunludur. </w:t>
      </w:r>
      <w:proofErr w:type="gramEnd"/>
      <w:r w:rsidRPr="004E0816">
        <w:rPr>
          <w:rFonts w:ascii="Verdana" w:eastAsia="Times New Roman" w:hAnsi="Verdana" w:cs="Times New Roman"/>
          <w:color w:val="000000"/>
          <w:sz w:val="20"/>
          <w:szCs w:val="20"/>
          <w:lang w:eastAsia="tr-TR"/>
        </w:rPr>
        <w:t xml:space="preserve">Yerel Mahkeme kararında, "evlilik birliğinin temelinden sarsıldığı, tarafların ayrı yaşadıkları, bundan sonra </w:t>
      </w:r>
      <w:r w:rsidRPr="004E0816">
        <w:rPr>
          <w:rFonts w:ascii="Verdana" w:eastAsia="Times New Roman" w:hAnsi="Verdana" w:cs="Times New Roman"/>
          <w:color w:val="000000"/>
          <w:sz w:val="20"/>
          <w:szCs w:val="20"/>
          <w:lang w:eastAsia="tr-TR"/>
        </w:rPr>
        <w:lastRenderedPageBreak/>
        <w:t xml:space="preserve">bir araya gelerek evlilik birliğini yürütemeyeceği evlilik birliğinin fiilen bittiği ayrıca kurulan evlilik birliğinin bundan son taraflara ve topluma bir fayda sağlamayacağı tüm dosya kapsamı ve alınan tanık beyanlarıyla da sabit olmakla” denilerek, davanın kabulüne karar verilmiştir. Ancak davacı-karşı davalı kadının evlilik birliğinin sarsılması sebebine dayalı (TMK m.166/1) ve hayata kast, pek kötü veya onur kırıcı davranış sebebine dayalı (TMK m.162) boşanma davaları ile bağımsız tedbir nafakası davası (TMK m.197) olup, davalı-karşı davacı erkeğin ise terk hukuki sebebine dayalı boşanma davası (TMK m.164) varken; gerekçede TMK 166/1-2. maddesine dayalı tek boşanma davasından bahsedilmiş, hangi davanın hangi gerekçe ile kabul veya reddedildiği belirtilmediği </w:t>
      </w:r>
      <w:proofErr w:type="gramStart"/>
      <w:r w:rsidRPr="004E0816">
        <w:rPr>
          <w:rFonts w:ascii="Verdana" w:eastAsia="Times New Roman" w:hAnsi="Verdana" w:cs="Times New Roman"/>
          <w:color w:val="000000"/>
          <w:sz w:val="20"/>
          <w:szCs w:val="20"/>
          <w:lang w:eastAsia="tr-TR"/>
        </w:rPr>
        <w:t>gibi,boşanma</w:t>
      </w:r>
      <w:proofErr w:type="gramEnd"/>
      <w:r w:rsidRPr="004E0816">
        <w:rPr>
          <w:rFonts w:ascii="Verdana" w:eastAsia="Times New Roman" w:hAnsi="Verdana" w:cs="Times New Roman"/>
          <w:color w:val="000000"/>
          <w:sz w:val="20"/>
          <w:szCs w:val="20"/>
          <w:lang w:eastAsia="tr-TR"/>
        </w:rPr>
        <w:t xml:space="preserve"> davasının kabulüne dayanak "vakıalar" ve taraflara yüklenen kusurlar ayrı </w:t>
      </w:r>
      <w:proofErr w:type="spellStart"/>
      <w:r w:rsidRPr="004E0816">
        <w:rPr>
          <w:rFonts w:ascii="Verdana" w:eastAsia="Times New Roman" w:hAnsi="Verdana" w:cs="Times New Roman"/>
          <w:color w:val="000000"/>
          <w:sz w:val="20"/>
          <w:szCs w:val="20"/>
          <w:lang w:eastAsia="tr-TR"/>
        </w:rPr>
        <w:t>ayrı</w:t>
      </w:r>
      <w:proofErr w:type="spellEnd"/>
      <w:r w:rsidRPr="004E0816">
        <w:rPr>
          <w:rFonts w:ascii="Verdana" w:eastAsia="Times New Roman" w:hAnsi="Verdana" w:cs="Times New Roman"/>
          <w:color w:val="000000"/>
          <w:sz w:val="20"/>
          <w:szCs w:val="20"/>
          <w:lang w:eastAsia="tr-TR"/>
        </w:rPr>
        <w:t xml:space="preserve"> gerekçede gösterilmemiştir. Yerel mahkemenin hangi delillerle sonuca ulaştığını değil, dayanılan delillerde yer alan hangi vakıanın kabul edildiğini Yargıtay denetimine elverişli şekilde gerekçeli olarak açıklaması zorunludur. Bu nedenle, gerekçesiz şekilde hüküm kurulması da usul ve kanuna aykırıdır.</w:t>
      </w:r>
      <w:r w:rsidRPr="004E0816">
        <w:rPr>
          <w:rFonts w:ascii="Verdana" w:eastAsia="Times New Roman" w:hAnsi="Verdana" w:cs="Times New Roman"/>
          <w:color w:val="000000"/>
          <w:sz w:val="20"/>
          <w:szCs w:val="20"/>
          <w:lang w:eastAsia="tr-TR"/>
        </w:rPr>
        <w:br/>
        <w:t>SONUÇ: Temyiz edilen hükmün yukarıda gösterilen sebeple BOZULMASINA, temyiz peşin harcının istek halinde yatıranlara geri verilmesine, işbu kararın tebliğinden itibaren 15 gün içinde karar düzeltme yolu açık olmak üzere oybirliğiyle karar verildi. 16.01.2018(Salı)</w:t>
      </w:r>
      <w:r w:rsidRPr="004E0816">
        <w:rPr>
          <w:rFonts w:ascii="Verdana" w:eastAsia="Times New Roman" w:hAnsi="Verdana" w:cs="Times New Roman"/>
          <w:color w:val="000000"/>
          <w:sz w:val="20"/>
          <w:szCs w:val="20"/>
          <w:lang w:eastAsia="tr-TR"/>
        </w:rPr>
        <w:br/>
      </w:r>
      <w:r w:rsidRPr="004E0816">
        <w:rPr>
          <w:rFonts w:ascii="Verdana" w:eastAsia="Times New Roman" w:hAnsi="Verdana" w:cs="Times New Roman"/>
          <w:color w:val="000000"/>
          <w:sz w:val="20"/>
          <w:szCs w:val="20"/>
          <w:lang w:eastAsia="tr-TR"/>
        </w:rPr>
        <w:br/>
      </w:r>
      <w:r w:rsidRPr="004E0816">
        <w:rPr>
          <w:rFonts w:ascii="Verdana" w:eastAsia="Times New Roman" w:hAnsi="Verdana" w:cs="Times New Roman"/>
          <w:color w:val="000000"/>
          <w:sz w:val="20"/>
          <w:szCs w:val="20"/>
          <w:lang w:eastAsia="tr-TR"/>
        </w:rPr>
        <w:br/>
      </w:r>
      <w:proofErr w:type="gramStart"/>
      <w:r w:rsidRPr="004E0816">
        <w:rPr>
          <w:rFonts w:ascii="Verdana" w:eastAsia="Times New Roman" w:hAnsi="Verdana" w:cs="Times New Roman"/>
          <w:color w:val="000000"/>
          <w:sz w:val="20"/>
          <w:szCs w:val="20"/>
          <w:lang w:eastAsia="tr-TR"/>
        </w:rPr>
        <w:t>....</w:t>
      </w:r>
      <w:proofErr w:type="gramEnd"/>
    </w:p>
    <w:p w:rsidR="004E0816" w:rsidRPr="004832E8" w:rsidRDefault="004E0816" w:rsidP="004832E8">
      <w:pPr>
        <w:spacing w:before="100" w:beforeAutospacing="1" w:after="100" w:afterAutospacing="1" w:line="240" w:lineRule="auto"/>
        <w:rPr>
          <w:rFonts w:ascii="Times New Roman" w:eastAsia="Times New Roman" w:hAnsi="Times New Roman" w:cs="Times New Roman"/>
          <w:color w:val="000000"/>
          <w:sz w:val="27"/>
          <w:szCs w:val="27"/>
          <w:lang w:eastAsia="tr-TR"/>
        </w:rPr>
      </w:pPr>
    </w:p>
    <w:p w:rsidR="004A65C0" w:rsidRPr="004A65C0" w:rsidRDefault="004A65C0" w:rsidP="004A65C0">
      <w:pPr>
        <w:pStyle w:val="NormalWeb"/>
        <w:shd w:val="clear" w:color="auto" w:fill="FFFFFF"/>
        <w:spacing w:before="60" w:beforeAutospacing="0" w:after="60" w:afterAutospacing="0"/>
        <w:rPr>
          <w:color w:val="1D2129"/>
        </w:rPr>
      </w:pPr>
      <w:r w:rsidRPr="004A65C0">
        <w:rPr>
          <w:color w:val="1D2129"/>
        </w:rPr>
        <w:t>2. Hukuk Dairesi 2017/1472 E. , 2017/14931 K.</w:t>
      </w:r>
    </w:p>
    <w:p w:rsidR="004A65C0" w:rsidRPr="004A65C0" w:rsidRDefault="004A65C0" w:rsidP="004A65C0">
      <w:pPr>
        <w:pStyle w:val="NormalWeb"/>
        <w:shd w:val="clear" w:color="auto" w:fill="FFFFFF"/>
        <w:spacing w:before="60" w:beforeAutospacing="0" w:after="60" w:afterAutospacing="0"/>
        <w:rPr>
          <w:color w:val="1D2129"/>
        </w:rPr>
      </w:pPr>
      <w:r w:rsidRPr="004A65C0">
        <w:rPr>
          <w:color w:val="1D2129"/>
        </w:rPr>
        <w:t>"İçtihat Metni"</w:t>
      </w:r>
      <w:r w:rsidRPr="004A65C0">
        <w:rPr>
          <w:color w:val="1D2129"/>
        </w:rPr>
        <w:br/>
      </w:r>
      <w:proofErr w:type="gramStart"/>
      <w:r w:rsidRPr="004A65C0">
        <w:rPr>
          <w:color w:val="1D2129"/>
        </w:rPr>
        <w:t>MAHKEMESİ :Aile</w:t>
      </w:r>
      <w:proofErr w:type="gramEnd"/>
      <w:r w:rsidRPr="004A65C0">
        <w:rPr>
          <w:color w:val="1D2129"/>
        </w:rPr>
        <w:t xml:space="preserve"> Mahkemesi</w:t>
      </w:r>
      <w:r w:rsidRPr="004A65C0">
        <w:rPr>
          <w:color w:val="1D2129"/>
        </w:rPr>
        <w:br/>
        <w:t>DAVA TÜRÜ : Karşılıklı Boşanma-Aile Konutu Şerhi Konulması</w:t>
      </w:r>
    </w:p>
    <w:p w:rsidR="004A65C0" w:rsidRPr="004A65C0" w:rsidRDefault="004A65C0" w:rsidP="004A65C0">
      <w:pPr>
        <w:pStyle w:val="NormalWeb"/>
        <w:shd w:val="clear" w:color="auto" w:fill="FFFFFF"/>
        <w:spacing w:before="60" w:beforeAutospacing="0" w:after="0" w:afterAutospacing="0"/>
        <w:rPr>
          <w:color w:val="1D2129"/>
        </w:rPr>
      </w:pPr>
      <w:proofErr w:type="gramStart"/>
      <w:r w:rsidRPr="004A65C0">
        <w:rPr>
          <w:color w:val="1D2129"/>
        </w:rPr>
        <w:t>Taraflar arasındaki davanın yapılan muhakemesi sonunda mahalli mahkemece verilen, yukarıda tarihi ve numarası gösterilen hüküm davacı-karşı davalı erkek tarafından; kusur belirlemesi, tedbir nafakaları ve tazminatlar yönünden, davalı-karşı davacı kadın tarafından ise; kusur belirlemesi, davanın hukuki sebebi, reddedilen yoksulluk nafakası talebi, tedbir nafakaları ve tazminatların miktarı ile reddedilen aile konutu şerhi talebi yönünden temyiz edilmekle, evrak okunup gereği görüşülüp düşünüldü:</w:t>
      </w:r>
      <w:r w:rsidRPr="004A65C0">
        <w:rPr>
          <w:color w:val="1D2129"/>
        </w:rPr>
        <w:br/>
        <w:t>1-Dosyadaki yazılara, kararın dayandığı delillerle kanuni gerektirici sebeplere ve özellikle delillerin takdirinde bir yanlışlık görülmemesine göre tarafların tedbir nafakalarına yönelik temyiz itirazları ile davalı-karşı davacı kadının aile konutu şerhi talebinin reddine yönelik temyiz itirazları yersizdir.</w:t>
      </w:r>
      <w:proofErr w:type="gramEnd"/>
      <w:r w:rsidRPr="004A65C0">
        <w:rPr>
          <w:color w:val="1D2129"/>
        </w:rPr>
        <w:br/>
        <w:t>2-Tarafların diğer temyiz itirazlarının incelenmesine gelince;</w:t>
      </w:r>
      <w:r w:rsidRPr="004A65C0">
        <w:rPr>
          <w:color w:val="1D2129"/>
        </w:rPr>
        <w:br/>
        <w:t xml:space="preserve">Davalı-karşı davacı kadın "karşı boşanma" davasında birden çok hukuki sebebe dayanarak öncelikle Türk Medeni Kanunu m.161 (zina hukuksal sebebine dayalı) olmadığı takdirde, Türk Medeni Kanunu m. 166/1 (evlilik birliğinin temelden sarsılması hukuki sebebine dayalı) boşanma isteminde bulunmuştur. Öncelikle özel boşanma sebebine dayalı olarak açılan boşanma davasında, özel boşanma sebebi değerlendirilmeden, genel boşanma sebebine (TMK m. 166/1) dayalı olarak karar verilmesi mümkün değildir. Zira, </w:t>
      </w:r>
      <w:proofErr w:type="gramStart"/>
      <w:r w:rsidRPr="004A65C0">
        <w:rPr>
          <w:color w:val="1D2129"/>
        </w:rPr>
        <w:t>hakim</w:t>
      </w:r>
      <w:proofErr w:type="gramEnd"/>
      <w:r w:rsidRPr="004A65C0">
        <w:rPr>
          <w:color w:val="1D2129"/>
        </w:rPr>
        <w:t xml:space="preserve"> tarafların talep sonuçlarıyla bağlı olup (HMK m.26), davacının öncelikli talebinin esastan reddine karar vermedikçe, ikincil talebini inceleyemez ve hükme bağlayamaz. Mahkemece deliller Türk Medeni Kanununun 166/1. maddesi çerçevesinde değerlendirilmiş, Türk Medeni Kanununun 161. maddede yer alan sebep yönünden bir değerlendirme yapılmamıştır. Mahkemece yapılan yargılama, toplanan deliller ve dinlenen tanık beyanlarından davacı-karşı davalı erkeğin halen </w:t>
      </w:r>
      <w:proofErr w:type="spellStart"/>
      <w:r w:rsidRPr="004A65C0">
        <w:rPr>
          <w:color w:val="1D2129"/>
        </w:rPr>
        <w:t>Türmenistanlı</w:t>
      </w:r>
      <w:proofErr w:type="spellEnd"/>
      <w:r w:rsidRPr="004A65C0">
        <w:rPr>
          <w:color w:val="1D2129"/>
        </w:rPr>
        <w:t xml:space="preserve"> bir kadınla birlikte yaşadığı anlaşılmaktadır. O halde erkeğin dava tarihi itibariyle zinası ispatlanmış olup kadının karşı davasının Türk Medeni Kanunu m. 161 </w:t>
      </w:r>
      <w:r w:rsidRPr="004A65C0">
        <w:rPr>
          <w:color w:val="1D2129"/>
        </w:rPr>
        <w:lastRenderedPageBreak/>
        <w:t>uyarınca zina nedeniyle kabulüne karar verilecek yerde yazılı şekilde Türk Medeni Kanunu m.166/1 evlilik birliğinin temelinden sarsılması nedeniyle kabulüne karar verilmesi doğru olmayıp bozmayı gerektirmiştir.</w:t>
      </w:r>
      <w:r w:rsidRPr="004A65C0">
        <w:rPr>
          <w:color w:val="1D2129"/>
        </w:rPr>
        <w:br/>
      </w:r>
      <w:proofErr w:type="gramStart"/>
      <w:r w:rsidRPr="004A65C0">
        <w:rPr>
          <w:color w:val="1D2129"/>
        </w:rPr>
        <w:t xml:space="preserve">SONUÇ: Temyiz edilen hükmün yukarıda 2. bentte gösterilen sebeple BOZULMASINA, bozma kapsamı dışında kalan temyize konu diğer bölümlerinin ise yukarıda 1. bentte gösterilen sebeple ONANMASINA, bozma sebebine göre tarafların sair temyiz itirazlarının şimdilik incelenmesine yer olmadığına, temyiz peşin harcının istek halinde yatıranlara geri verilmesine, işbu kararın tebliğinden itibaren 15 gün içinde karar düzeltme yolu açık olmak üzere oybirliğiyle karar verildi. </w:t>
      </w:r>
      <w:proofErr w:type="gramEnd"/>
      <w:r w:rsidRPr="004A65C0">
        <w:rPr>
          <w:color w:val="1D2129"/>
        </w:rPr>
        <w:t>19.12.2017(Salı)</w:t>
      </w:r>
    </w:p>
    <w:p w:rsidR="004A65C0" w:rsidRPr="004A65C0" w:rsidRDefault="004A65C0" w:rsidP="00724525">
      <w:pPr>
        <w:pStyle w:val="Balk4"/>
      </w:pPr>
    </w:p>
    <w:p w:rsidR="004A65C0" w:rsidRPr="004A65C0" w:rsidRDefault="004A65C0" w:rsidP="00724525">
      <w:pPr>
        <w:pStyle w:val="Balk4"/>
      </w:pPr>
    </w:p>
    <w:p w:rsidR="004A65C0" w:rsidRDefault="004A65C0" w:rsidP="00724525">
      <w:pPr>
        <w:pStyle w:val="Balk4"/>
      </w:pPr>
    </w:p>
    <w:p w:rsidR="00724525" w:rsidRDefault="00724525" w:rsidP="00724525">
      <w:pPr>
        <w:pStyle w:val="Balk4"/>
      </w:pPr>
      <w:r>
        <w:t>T.C.</w:t>
      </w:r>
    </w:p>
    <w:p w:rsidR="00724525" w:rsidRDefault="00724525" w:rsidP="00724525">
      <w:pPr>
        <w:pStyle w:val="Balk4"/>
      </w:pPr>
      <w:r>
        <w:t>YARGITAY</w:t>
      </w:r>
    </w:p>
    <w:p w:rsidR="00724525" w:rsidRDefault="00724525" w:rsidP="00724525">
      <w:pPr>
        <w:pStyle w:val="Balk4"/>
      </w:pPr>
      <w:r>
        <w:t>2. HUKUK DAİRESİ</w:t>
      </w:r>
    </w:p>
    <w:p w:rsidR="00724525" w:rsidRDefault="00724525" w:rsidP="00724525">
      <w:pPr>
        <w:pStyle w:val="Balk4"/>
      </w:pPr>
      <w:r>
        <w:t>E. 2014/1592</w:t>
      </w:r>
    </w:p>
    <w:p w:rsidR="00724525" w:rsidRDefault="00724525" w:rsidP="00724525">
      <w:pPr>
        <w:pStyle w:val="Balk4"/>
      </w:pPr>
      <w:r>
        <w:t>K. 2014/17457</w:t>
      </w:r>
    </w:p>
    <w:p w:rsidR="00724525" w:rsidRDefault="00724525" w:rsidP="00724525">
      <w:pPr>
        <w:pStyle w:val="Balk4"/>
      </w:pPr>
      <w:r>
        <w:t>T. 16.9.2014</w:t>
      </w:r>
    </w:p>
    <w:p w:rsidR="00724525" w:rsidRDefault="00724525" w:rsidP="00724525">
      <w:pPr>
        <w:pStyle w:val="Balk4"/>
      </w:pPr>
      <w:r>
        <w:t>4721/m.</w:t>
      </w:r>
      <w:hyperlink r:id="rId5" w:anchor="161" w:history="1">
        <w:r>
          <w:rPr>
            <w:rStyle w:val="Kpr"/>
          </w:rPr>
          <w:t>161</w:t>
        </w:r>
      </w:hyperlink>
      <w:r>
        <w:t>,</w:t>
      </w:r>
      <w:hyperlink r:id="rId6" w:anchor="166" w:history="1">
        <w:r>
          <w:rPr>
            <w:rStyle w:val="Kpr"/>
          </w:rPr>
          <w:t>166</w:t>
        </w:r>
      </w:hyperlink>
      <w:r>
        <w:t>/1</w:t>
      </w:r>
    </w:p>
    <w:p w:rsidR="00724525" w:rsidRDefault="00724525" w:rsidP="00724525">
      <w:pPr>
        <w:pStyle w:val="NormalWeb"/>
      </w:pPr>
      <w:proofErr w:type="gramStart"/>
      <w:r>
        <w:rPr>
          <w:b/>
          <w:bCs/>
        </w:rPr>
        <w:t xml:space="preserve">DAVA : </w:t>
      </w:r>
      <w:r>
        <w:t>Taraflar</w:t>
      </w:r>
      <w:proofErr w:type="gramEnd"/>
      <w:r>
        <w:t xml:space="preserve"> arasındaki "boşanma" ve davalı tarafından açılan "karşı boşanma" davasının yapılan muhakemesi sonunda mahalli mahkemece verilen hüküm, davacı-karşı davalı ( koca ) tarafından; karşı boşanma davası, ağır kusurlu kabul edilmesine dair gerekçesi, karşı davacı ( kadın ) yararına hükmedilen maddi ve manevi tazminat yönünden, davalı-karşı davacı ( kadın ) tarafından ise; kendi davasındaki boşanma kararının gerekçesi, lehine hükmedilen tazminatların miktarı, velayetine bırakılan çocuk için tayin edilen iştirak nafakası miktarı ve yoksulluk nafakası talebinin reddi yönünden temyiz edilerek; temyiz incelemesinin duruşmalı olarak yapılması istenilmekle; duruşma için belirlenen 16.9.2014 günü duruşmalı temyiz eden davacı-karşı davalı Y. vekili ve karşı taraf duruşmalı temyiz eden davalı-karşı davacı I. ile vekili geldiler. Gelenlerin konuşması dinlendikten sonra işin incelenerek karara bağlanması için duruşmadan sonraya bırakılması uygun görüldü. Bugün dosyadaki bütün kağıtlar okunup gereği görüşülüp düşünüldü: </w:t>
      </w:r>
    </w:p>
    <w:p w:rsidR="00724525" w:rsidRDefault="00724525" w:rsidP="00724525">
      <w:pPr>
        <w:pStyle w:val="NormalWeb"/>
      </w:pPr>
      <w:r>
        <w:rPr>
          <w:b/>
          <w:bCs/>
        </w:rPr>
        <w:t xml:space="preserve">KARAR : </w:t>
      </w:r>
      <w:r>
        <w:t>1- ) Dosyadaki yazılara, kararın dayandığı delilerle yasaya uygun sebeplere ve özellikle, davacı-karşı davalı ( koca ), boşanma talebini; eşinin, iş ortağı erkekle ilişkisi olduğunu ileri sürerek, "haysiyetsiz hayat sürme" ve "evlilik birliğinin temelinden sarsılması" hukuki sebeplerine dayandırmış olması karşısında, davalı-karşı davacı ( kadın )'</w:t>
      </w:r>
      <w:proofErr w:type="spellStart"/>
      <w:r>
        <w:t>ın</w:t>
      </w:r>
      <w:proofErr w:type="spellEnd"/>
      <w:r>
        <w:t xml:space="preserve"> gerçekleşen eyleminin Türk Medeni Kanununun 163. maddesinde yer alan "haysiyetsiz hayat sürme" niteliğinde olmayıp, aynı Kanunun 166/1. maddesi gereğince boşanma sebebi olarak kabul edilmesinde bir isabetsizlik bulunmamasına, kocanın; gerçekleşen ve mahkemece de sabit </w:t>
      </w:r>
      <w:r>
        <w:lastRenderedPageBreak/>
        <w:t>görülen eylemleri nazara alındığında, evlilik birliğinin ortak hayatın devamına imkan bırakmayacak derecede temelinden sarsılmasında, baskın ve ağırlıklı kusurlu olduğunun anlaşılmasına göre, davacı-karşı davalı ( koca )'</w:t>
      </w:r>
      <w:proofErr w:type="spellStart"/>
      <w:r>
        <w:t>nın</w:t>
      </w:r>
      <w:proofErr w:type="spellEnd"/>
      <w:r>
        <w:t xml:space="preserve">, kadının karşı boşanma davasının reddi gerektiği yönündeki temyiz itirazları yerinde görülmediği gibi, kadın lehine maddi ve manevi tazminat takdir edilirken, kadının açıklanan </w:t>
      </w:r>
      <w:proofErr w:type="spellStart"/>
      <w:r>
        <w:t>müterafik</w:t>
      </w:r>
      <w:proofErr w:type="spellEnd"/>
      <w:r>
        <w:t xml:space="preserve"> ( birlikte ) kusuru ve tarafların gerçekleşen ekonomik ve sosyal durumlarının mahkemece dikkate alınmış olması karşısında, kocanın bu yönlere dair temyiz itirazları da yerinde görülmemiştir. </w:t>
      </w:r>
    </w:p>
    <w:p w:rsidR="00724525" w:rsidRDefault="00724525" w:rsidP="00724525">
      <w:pPr>
        <w:pStyle w:val="NormalWeb"/>
      </w:pPr>
      <w:r>
        <w:t>2- ) Karşı davacı ( kadın )'</w:t>
      </w:r>
      <w:proofErr w:type="spellStart"/>
      <w:r>
        <w:t>ın</w:t>
      </w:r>
      <w:proofErr w:type="spellEnd"/>
      <w:r>
        <w:t xml:space="preserve"> temyiz itirazlarına gelince: </w:t>
      </w:r>
    </w:p>
    <w:p w:rsidR="00724525" w:rsidRDefault="00724525" w:rsidP="00724525">
      <w:pPr>
        <w:pStyle w:val="NormalWeb"/>
      </w:pPr>
      <w:r>
        <w:t xml:space="preserve">Karşı boşanma davası, Türk Medeni Kanununun 161. maddesinde yer alan "zina", 162., maddesinde yer alan "onur kırıcı davranış", 163. maddesinde düzenlenen "haysiyetsiz hayat sürme" ve 166/1. maddesinde yer alan "evlilik birliğinin temelinden sarsılması" sebeplerine dayanmaktadır. Zina ( TMK. m. </w:t>
      </w:r>
      <w:hyperlink r:id="rId7" w:anchor="161" w:tooltip="İlgili maddeyi görmek için tıklayınız" w:history="1">
        <w:r>
          <w:rPr>
            <w:rStyle w:val="Kpr"/>
          </w:rPr>
          <w:t>161</w:t>
        </w:r>
      </w:hyperlink>
      <w:r>
        <w:t xml:space="preserve"> ), eşlerden birinin diğerinin hayatına kast etmesi veya pek kötü davranması ya da ağır derece onur kırıcı davranışta bulunulması ( TMK. m. </w:t>
      </w:r>
      <w:hyperlink r:id="rId8" w:anchor="162" w:tooltip="İlgili maddeyi görmek için tıklayınız" w:history="1">
        <w:r>
          <w:rPr>
            <w:rStyle w:val="Kpr"/>
          </w:rPr>
          <w:t>162</w:t>
        </w:r>
      </w:hyperlink>
      <w:r>
        <w:t xml:space="preserve"> ) ve Türk Medeni Kanununun 164. maddesinde düzenlenen terk, yasal koşullar gerçekleştiğinde başkaca hiçbir şey aranmaksızın mutlak olarak boşanmayı sağladığı için özel boşanma sebepleridir. Bu olaylar özel boşanma sebebi kabul edilmekle, evlilik birliğini derin ve onarılamaz bir şekilde sarstığı yasa koyucu tarafından baştan karine olarak kabul edilmiştir. Bu karine dolayısıyladır ki, ayrıca evlilik birliğinin temelinden sarsılmış olup olmadığı araştırılmamakta, olayların ispatlanması halinde ( af veya dava hakkı düşmedikçe ) boşanmaya karar verilmektedir. Bunlardan terk dışındaki 161 ve 162. maddede yer alan ilk ikisi, aynı zamanda Türk Medeni Kanununun 166. maddesinde düzenlenen genel boşanma sebebini de oluşturur. Başka bir ifade ile </w:t>
      </w:r>
      <w:r w:rsidRPr="00CE4AF8">
        <w:rPr>
          <w:b/>
        </w:rPr>
        <w:t>zina, hayata kast, pek kötü davranma veya ağır derecede onur kırıcı davranışla karşılaşan eş, dilerse bu özel sebeplerden birine ya da bir kaçına, dilerse genel boşanma sebebine dayanarak boşanma davası açabileceği gibi, özel ve genel nitelikte sebeplerinden ikisine birlikte dayanak da boşanma talep edebilir</w:t>
      </w:r>
      <w:r>
        <w:t xml:space="preserve">. </w:t>
      </w:r>
      <w:r w:rsidRPr="00CE4AF8">
        <w:rPr>
          <w:b/>
        </w:rPr>
        <w:t>Bu son halde, kanundaki özel boşanma sebebi ispatlanmış ise, af veya dava hakkının düşmesi gibi bir durum da söz konusu değilse, özel sebebe dayanılarak boşanma kararı verilmek gerekir</w:t>
      </w:r>
      <w:r>
        <w:t>. Davacı-karşı davalı ( koca )'</w:t>
      </w:r>
      <w:proofErr w:type="spellStart"/>
      <w:r>
        <w:t>nın</w:t>
      </w:r>
      <w:proofErr w:type="spellEnd"/>
      <w:r>
        <w:t xml:space="preserve">; birden fazla kadınla cinsel ilişkide bulunduğu, bu kadınlarla yatlarda ve barlarda sık </w:t>
      </w:r>
      <w:proofErr w:type="spellStart"/>
      <w:r>
        <w:t>sık</w:t>
      </w:r>
      <w:proofErr w:type="spellEnd"/>
      <w:r>
        <w:t xml:space="preserve"> birlikte olduğu; yapılan soruşturma ve toplanan delillerden anlaşılmaktadır. Mahkemece de bu hususlar sabit kabul edilmiştir. Gerçekleşen bu eylemler "zina" niteliğindedir. Öyleyse, karşı boşanma davasının, kocanın sübut bulan zinası sebebiyle ( TMK. m. </w:t>
      </w:r>
      <w:hyperlink r:id="rId9" w:anchor="161" w:tooltip="İlgili maddeyi görmek için tıklayınız" w:history="1">
        <w:r>
          <w:rPr>
            <w:rStyle w:val="Kpr"/>
          </w:rPr>
          <w:t>161</w:t>
        </w:r>
      </w:hyperlink>
      <w:r>
        <w:t xml:space="preserve"> ) kabulü gerekirken, karşı davada da, sadece Türk Medeni Kanununun 166/1-2. maddesi gereğince boşanma kararı verilmesi doğru olmamıştır. Kadının davasıyla ilgili verilen hükmün bu sebeple bozulması gerekiyor ise de, gösterilen gerekçe doğru olmasa bile verilen boşanma kararı sonucu bakımından usul ve yasaya uygun olduğuna göre, karşı davanın kabul gerekçesinin değiştirilmesi suretiyle hükmün onanması usulen imkan dahilinde olduğundan ( HUMK m. </w:t>
      </w:r>
      <w:hyperlink r:id="rId10" w:anchor="438" w:tooltip="İlgili maddeyi görmek için tıklayınız" w:history="1">
        <w:r>
          <w:rPr>
            <w:rStyle w:val="Kpr"/>
          </w:rPr>
          <w:t>438</w:t>
        </w:r>
      </w:hyperlink>
      <w:r>
        <w:t>/ son ) bozma yapılmamış, davalı-karşı davacı ( kadın )'</w:t>
      </w:r>
      <w:proofErr w:type="spellStart"/>
      <w:r>
        <w:t>ın</w:t>
      </w:r>
      <w:proofErr w:type="spellEnd"/>
      <w:r>
        <w:t xml:space="preserve"> bu yöne dair bozma istemi açıklanan sebeple yerinde görülmemiş, diğer yönlere dair temyiz itirazları da yersiz olup, sonucu bakımından usul ve yasaya uygun olan hükmün, kadının davası bakımından boşanma sebebi değiştirilmek suretiyle onanmasına karar verilmesi gerekmiştir. </w:t>
      </w:r>
    </w:p>
    <w:p w:rsidR="00724525" w:rsidRDefault="00724525" w:rsidP="00724525">
      <w:pPr>
        <w:pStyle w:val="NormalWeb"/>
      </w:pPr>
      <w:r>
        <w:rPr>
          <w:b/>
          <w:bCs/>
        </w:rPr>
        <w:t xml:space="preserve">SONUÇ : </w:t>
      </w:r>
      <w:r>
        <w:t>Davacı-karşı davalı ( koca )'</w:t>
      </w:r>
      <w:proofErr w:type="spellStart"/>
      <w:r>
        <w:t>nın</w:t>
      </w:r>
      <w:proofErr w:type="spellEnd"/>
      <w:r>
        <w:t xml:space="preserve"> temyiz itirazlarının yukarda ( 1. ) bentte gösterilen sebeple, davalı-karşı davacı ( kadın )'</w:t>
      </w:r>
      <w:proofErr w:type="spellStart"/>
      <w:r>
        <w:t>ın</w:t>
      </w:r>
      <w:proofErr w:type="spellEnd"/>
      <w:r>
        <w:t xml:space="preserve"> temyiz itirazlarının ise yukarda ( 2. ) bentte gösterilen sebeple reddi ile temyiz edilen hükmün, karşı boşanma davasında mahkemece kabul edilen boşanma sebebinin "zina" ( TMK. m. </w:t>
      </w:r>
      <w:hyperlink r:id="rId11" w:anchor="161" w:tooltip="İlgili maddeyi görmek için tıklayınız" w:history="1">
        <w:r>
          <w:rPr>
            <w:rStyle w:val="Kpr"/>
          </w:rPr>
          <w:t>161</w:t>
        </w:r>
      </w:hyperlink>
      <w:r>
        <w:t xml:space="preserve"> ) olarak değiştirilmesi suretiyle sonucu bakımından usul ve yasaya uygun olduğundan Hukuk Usulü Muhakemeleri Kanununun 438/ son maddesi gereğince ONANMASINA, duruşma için takdir olunan 1.100.00 TL. vekalet ücretinin Y.'dan </w:t>
      </w:r>
      <w:r>
        <w:lastRenderedPageBreak/>
        <w:t xml:space="preserve">alınıp I.'ya verilmesine, onama harcının temyiz eden Y.'a yükletilmesine, peşin alınan harcın mahsubuna ve 119.00 TL. temyiz başvuru harcı peşin alındığından başkaca harç alınmasına yer olmadığına, istenmesi halinde temyiz peşin harcının I.'ya iadesine, işbu kararın tebliğinden itibaren 15 gün içinde karar düzeltme yolu açık olmak üzere, 16.09.2014 tarihinde oybirliği ile karar verildi. </w:t>
      </w:r>
    </w:p>
    <w:p w:rsidR="002459F4" w:rsidRDefault="002459F4" w:rsidP="002459F4">
      <w:pPr>
        <w:pStyle w:val="Balk4"/>
      </w:pPr>
      <w:r>
        <w:t>T.C.</w:t>
      </w:r>
    </w:p>
    <w:p w:rsidR="002459F4" w:rsidRDefault="002459F4" w:rsidP="002459F4">
      <w:pPr>
        <w:pStyle w:val="Balk4"/>
      </w:pPr>
      <w:r>
        <w:t>YARGITAY</w:t>
      </w:r>
    </w:p>
    <w:p w:rsidR="002459F4" w:rsidRDefault="002459F4" w:rsidP="002459F4">
      <w:pPr>
        <w:pStyle w:val="Balk4"/>
      </w:pPr>
      <w:r>
        <w:t>2. HUKUK DAİRESİ</w:t>
      </w:r>
    </w:p>
    <w:p w:rsidR="002459F4" w:rsidRDefault="002459F4" w:rsidP="002459F4">
      <w:pPr>
        <w:pStyle w:val="Balk4"/>
      </w:pPr>
      <w:r>
        <w:t>E. 2013/25793</w:t>
      </w:r>
    </w:p>
    <w:p w:rsidR="002459F4" w:rsidRDefault="002459F4" w:rsidP="002459F4">
      <w:pPr>
        <w:pStyle w:val="Balk4"/>
      </w:pPr>
      <w:r>
        <w:t>K. 2014/9349</w:t>
      </w:r>
    </w:p>
    <w:p w:rsidR="002459F4" w:rsidRDefault="002459F4" w:rsidP="002459F4">
      <w:pPr>
        <w:pStyle w:val="Balk4"/>
      </w:pPr>
      <w:r>
        <w:t>T. 21.4.2014</w:t>
      </w:r>
    </w:p>
    <w:p w:rsidR="002459F4" w:rsidRDefault="002459F4" w:rsidP="002459F4">
      <w:pPr>
        <w:pStyle w:val="NormalWeb"/>
      </w:pPr>
      <w:r>
        <w:rPr>
          <w:b/>
          <w:bCs/>
        </w:rPr>
        <w:t xml:space="preserve">DAVA : </w:t>
      </w:r>
      <w:r>
        <w:t xml:space="preserve">Taraflar arasındaki davanın yapılan muhakemesi sonunda mahalli mahkemece verilen, yukarıda tarihi ve numarası gösterilen hüküm, davacı tarafından temyiz edilmekle, evrak okunup gereği görüşülüp düşünüldü: </w:t>
      </w:r>
    </w:p>
    <w:p w:rsidR="002459F4" w:rsidRDefault="002459F4" w:rsidP="002459F4">
      <w:pPr>
        <w:pStyle w:val="NormalWeb"/>
      </w:pPr>
      <w:r>
        <w:rPr>
          <w:b/>
          <w:bCs/>
        </w:rPr>
        <w:t xml:space="preserve">KARAR : </w:t>
      </w:r>
      <w:r>
        <w:t xml:space="preserve">Dava; zina, olmazsa </w:t>
      </w:r>
      <w:bookmarkStart w:id="0" w:name="fm"/>
      <w:bookmarkEnd w:id="0"/>
      <w:r>
        <w:rPr>
          <w:b/>
          <w:bCs/>
          <w:shd w:val="clear" w:color="auto" w:fill="FFFF00"/>
        </w:rPr>
        <w:t>haysiyetsiz hayat</w:t>
      </w:r>
      <w:r>
        <w:t xml:space="preserve"> sürme, bu da kabul edilmediği takdirde evlilik birliğinin temelinden sarsılması sebebiyle boşanma talebine ilişkindir. Zina ve </w:t>
      </w:r>
      <w:r>
        <w:rPr>
          <w:b/>
          <w:bCs/>
          <w:shd w:val="clear" w:color="auto" w:fill="FFFF00"/>
        </w:rPr>
        <w:t>haysiyetsiz hayat</w:t>
      </w:r>
      <w:r>
        <w:t xml:space="preserve"> sürme fiilleri özel boşanma sebebi yanında genel boşanma (TMK md. </w:t>
      </w:r>
      <w:hyperlink r:id="rId12" w:anchor="166" w:tooltip="İlgili maddeyi görmek için tıklayınız" w:history="1">
        <w:r>
          <w:rPr>
            <w:rStyle w:val="Kpr"/>
          </w:rPr>
          <w:t>166</w:t>
        </w:r>
      </w:hyperlink>
      <w:r>
        <w:t xml:space="preserve">/1) sebebi de oluşturur. Böyle bir durum karşısında kalan eş dilerse bu özel sebeplerin yanında genel sebebe, dilerse birine veya birkaçına birlikte dayanarak boşanma talep edebilir. Davacı öncelikle zina sebebine dayanarak boşanma davası açmış olduğundan, doğuracakları hukuki sonuçların farklı olduğu da gözetilerek, öncelikle zina boşanma sebeplerinin bulunup bulunmadığı belirlenmeli, özel sebep varsa, bu sebebe dayanılarak özel boşanma sebeplerinin gerçekleşmemesi veya özel sebebe dayalı dava hakkının düşmüş olması halinde, deliller genel boşanma sebebi (TMK md. </w:t>
      </w:r>
      <w:hyperlink r:id="rId13" w:anchor="166" w:tooltip="İlgili maddeyi görmek için tıklayınız" w:history="1">
        <w:r>
          <w:rPr>
            <w:rStyle w:val="Kpr"/>
          </w:rPr>
          <w:t>166</w:t>
        </w:r>
      </w:hyperlink>
      <w:r>
        <w:t xml:space="preserve">/1-2) çerçevesinde değerlendirilerek sonucuna göre karar verilmelidir. Toplanan deliller öncelikle özel boşanma sebepleri bakımından değerlendirilip, sonucu uyarınca karar verilmesi gerekirken, bu husus gözetilmeden yazılı şekilde hüküm kurulması doğru bulunmamıştır. </w:t>
      </w:r>
    </w:p>
    <w:p w:rsidR="002459F4" w:rsidRDefault="002459F4" w:rsidP="002459F4">
      <w:pPr>
        <w:pStyle w:val="NormalWeb"/>
      </w:pPr>
      <w:r>
        <w:rPr>
          <w:b/>
          <w:bCs/>
        </w:rPr>
        <w:t xml:space="preserve">SONUÇ : </w:t>
      </w:r>
      <w:r>
        <w:t xml:space="preserve">Temyiz edilen hükmün yukarıda gösterilen sebeple BOZULMASINA, bozma sebebine göre davacının sair temyiz itirazlarının şimdilik incelenmesine yer olmadığına, temyiz peşin harcının yatırana geri verilmesine, işbu kararın tebliğinden itibaren 15 gün içinde karar düzeltme yolu açık olmak üzere oybirliğiyle 21.04.2014 tarihinde karar verildi. </w:t>
      </w:r>
    </w:p>
    <w:p w:rsidR="00724525" w:rsidRDefault="00724525"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724525" w:rsidRDefault="00724525"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T.C.</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YARGITAY</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2. HUKUK DAİRESİ</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lastRenderedPageBreak/>
        <w:t>E. 2009/8440</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K. 2010/12941</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T. 29.6.2010</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 GENEL BOŞANMA NEDENİ ( Özel Boşanma Sebeplerinin Gerçekleşmemesi veya Özel Sebebe Dayalı Dava Hakkının Düşmüş Olması Halinde Deliller Genel Boşanma Sebebi Çerçevesinde Değerlendirilerek Karar Verilmesi Gerektiği )</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 ÖZEL BOŞANMA NEDENİ ( Gerçekleşmemesi veya Özel Sebebe Dayalı Dava Hakkının Düşmüş Olması Halinde Deliller Genel Boşanma Sebebi Çerçevesinde Değerlendirilerek Karar Verilmesi Gerektiği )</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 BOŞANMA NEDENLERİ ( Hem Özel Hem de Genel Sebebe Dayanılarak Boşanma Davası Açılmış İse Doğuracakları Hukuki Sonuçlar Farklı Olacağından Öncelikle Özel Boşanma Sebeplerinin Bulunup Bulunmadığının Belirlenmesi Gerektiği )</w:t>
      </w:r>
    </w:p>
    <w:p w:rsidR="00B40D12" w:rsidRPr="00B40D12" w:rsidRDefault="00B40D12" w:rsidP="00B40D12">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40D12">
        <w:rPr>
          <w:rFonts w:ascii="Times New Roman" w:eastAsia="Times New Roman" w:hAnsi="Times New Roman" w:cs="Times New Roman"/>
          <w:b/>
          <w:bCs/>
          <w:sz w:val="24"/>
          <w:szCs w:val="24"/>
          <w:lang w:eastAsia="tr-TR"/>
        </w:rPr>
        <w:t>4721/m.</w:t>
      </w:r>
      <w:hyperlink r:id="rId14" w:anchor="161" w:history="1">
        <w:r w:rsidRPr="00B40D12">
          <w:rPr>
            <w:rFonts w:ascii="Times New Roman" w:eastAsia="Times New Roman" w:hAnsi="Times New Roman" w:cs="Times New Roman"/>
            <w:b/>
            <w:bCs/>
            <w:color w:val="0000FF"/>
            <w:sz w:val="24"/>
            <w:szCs w:val="24"/>
            <w:u w:val="single"/>
            <w:lang w:eastAsia="tr-TR"/>
          </w:rPr>
          <w:t>161</w:t>
        </w:r>
      </w:hyperlink>
      <w:r w:rsidRPr="00B40D12">
        <w:rPr>
          <w:rFonts w:ascii="Times New Roman" w:eastAsia="Times New Roman" w:hAnsi="Times New Roman" w:cs="Times New Roman"/>
          <w:b/>
          <w:bCs/>
          <w:sz w:val="24"/>
          <w:szCs w:val="24"/>
          <w:lang w:eastAsia="tr-TR"/>
        </w:rPr>
        <w:t xml:space="preserve">, </w:t>
      </w:r>
      <w:hyperlink r:id="rId15" w:anchor="162" w:history="1">
        <w:r w:rsidRPr="00B40D12">
          <w:rPr>
            <w:rFonts w:ascii="Times New Roman" w:eastAsia="Times New Roman" w:hAnsi="Times New Roman" w:cs="Times New Roman"/>
            <w:b/>
            <w:bCs/>
            <w:color w:val="0000FF"/>
            <w:sz w:val="24"/>
            <w:szCs w:val="24"/>
            <w:u w:val="single"/>
            <w:lang w:eastAsia="tr-TR"/>
          </w:rPr>
          <w:t>162</w:t>
        </w:r>
      </w:hyperlink>
      <w:r w:rsidRPr="00B40D12">
        <w:rPr>
          <w:rFonts w:ascii="Times New Roman" w:eastAsia="Times New Roman" w:hAnsi="Times New Roman" w:cs="Times New Roman"/>
          <w:b/>
          <w:bCs/>
          <w:sz w:val="24"/>
          <w:szCs w:val="24"/>
          <w:lang w:eastAsia="tr-TR"/>
        </w:rPr>
        <w:t xml:space="preserve">/1, </w:t>
      </w:r>
      <w:hyperlink r:id="rId16" w:anchor="163" w:history="1">
        <w:r w:rsidRPr="00B40D12">
          <w:rPr>
            <w:rFonts w:ascii="Times New Roman" w:eastAsia="Times New Roman" w:hAnsi="Times New Roman" w:cs="Times New Roman"/>
            <w:b/>
            <w:bCs/>
            <w:color w:val="0000FF"/>
            <w:sz w:val="24"/>
            <w:szCs w:val="24"/>
            <w:u w:val="single"/>
            <w:lang w:eastAsia="tr-TR"/>
          </w:rPr>
          <w:t>163</w:t>
        </w:r>
      </w:hyperlink>
      <w:r w:rsidRPr="00B40D12">
        <w:rPr>
          <w:rFonts w:ascii="Times New Roman" w:eastAsia="Times New Roman" w:hAnsi="Times New Roman" w:cs="Times New Roman"/>
          <w:b/>
          <w:bCs/>
          <w:sz w:val="24"/>
          <w:szCs w:val="24"/>
          <w:lang w:eastAsia="tr-TR"/>
        </w:rPr>
        <w:t xml:space="preserve">, </w:t>
      </w:r>
      <w:hyperlink r:id="rId17" w:anchor="166" w:history="1">
        <w:r w:rsidRPr="00B40D12">
          <w:rPr>
            <w:rFonts w:ascii="Times New Roman" w:eastAsia="Times New Roman" w:hAnsi="Times New Roman" w:cs="Times New Roman"/>
            <w:b/>
            <w:bCs/>
            <w:color w:val="0000FF"/>
            <w:sz w:val="24"/>
            <w:szCs w:val="24"/>
            <w:u w:val="single"/>
            <w:lang w:eastAsia="tr-TR"/>
          </w:rPr>
          <w:t>166</w:t>
        </w:r>
      </w:hyperlink>
      <w:r w:rsidRPr="00B40D12">
        <w:rPr>
          <w:rFonts w:ascii="Times New Roman" w:eastAsia="Times New Roman" w:hAnsi="Times New Roman" w:cs="Times New Roman"/>
          <w:b/>
          <w:bCs/>
          <w:sz w:val="24"/>
          <w:szCs w:val="24"/>
          <w:lang w:eastAsia="tr-TR"/>
        </w:rPr>
        <w:t>/1</w:t>
      </w:r>
    </w:p>
    <w:p w:rsidR="00B40D12" w:rsidRPr="00B40D12" w:rsidRDefault="00B40D12" w:rsidP="00B40D12">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40D12">
        <w:rPr>
          <w:rFonts w:ascii="Times New Roman" w:eastAsia="Times New Roman" w:hAnsi="Times New Roman" w:cs="Times New Roman"/>
          <w:b/>
          <w:bCs/>
          <w:sz w:val="24"/>
          <w:szCs w:val="24"/>
          <w:lang w:eastAsia="tr-TR"/>
        </w:rPr>
        <w:t xml:space="preserve">ÖZET : </w:t>
      </w:r>
      <w:r w:rsidRPr="00B40D12">
        <w:rPr>
          <w:rFonts w:ascii="Times New Roman" w:eastAsia="Times New Roman" w:hAnsi="Times New Roman" w:cs="Times New Roman"/>
          <w:sz w:val="24"/>
          <w:szCs w:val="24"/>
          <w:lang w:eastAsia="tr-TR"/>
        </w:rPr>
        <w:t>Hem</w:t>
      </w:r>
      <w:proofErr w:type="gramEnd"/>
      <w:r w:rsidRPr="00B40D12">
        <w:rPr>
          <w:rFonts w:ascii="Times New Roman" w:eastAsia="Times New Roman" w:hAnsi="Times New Roman" w:cs="Times New Roman"/>
          <w:sz w:val="24"/>
          <w:szCs w:val="24"/>
          <w:lang w:eastAsia="tr-TR"/>
        </w:rPr>
        <w:t xml:space="preserve"> özel hem de genel sebebe dayanılarak boşanma davası açılmış ise, doğuracakları hukuki sonuçlar farklı olacağından öncelikle özel boşanma sebeplerinin bulunup bulunmadığı belirlenmeli, özel sebep varsa, bu sebebe dayanılarak, özel boşanma sebeplerinin gerçekleşmemesi veya özel sebebe dayalı dava hakkının düşmüş olması halinde, deliller, genel boşanma sebebi çerçevesinde değerlendirilerek sonucuna göre karar verilmelidir. </w:t>
      </w:r>
    </w:p>
    <w:p w:rsidR="00B40D12" w:rsidRPr="00B40D12" w:rsidRDefault="00B40D12" w:rsidP="00B40D12">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40D12">
        <w:rPr>
          <w:rFonts w:ascii="Times New Roman" w:eastAsia="Times New Roman" w:hAnsi="Times New Roman" w:cs="Times New Roman"/>
          <w:b/>
          <w:bCs/>
          <w:sz w:val="24"/>
          <w:szCs w:val="24"/>
          <w:lang w:eastAsia="tr-TR"/>
        </w:rPr>
        <w:t xml:space="preserve">DAVA : </w:t>
      </w:r>
      <w:r w:rsidRPr="00B40D12">
        <w:rPr>
          <w:rFonts w:ascii="Times New Roman" w:eastAsia="Times New Roman" w:hAnsi="Times New Roman" w:cs="Times New Roman"/>
          <w:sz w:val="24"/>
          <w:szCs w:val="24"/>
          <w:lang w:eastAsia="tr-TR"/>
        </w:rPr>
        <w:t>Taraflar</w:t>
      </w:r>
      <w:proofErr w:type="gramEnd"/>
      <w:r w:rsidRPr="00B40D12">
        <w:rPr>
          <w:rFonts w:ascii="Times New Roman" w:eastAsia="Times New Roman" w:hAnsi="Times New Roman" w:cs="Times New Roman"/>
          <w:sz w:val="24"/>
          <w:szCs w:val="24"/>
          <w:lang w:eastAsia="tr-TR"/>
        </w:rPr>
        <w:t xml:space="preserve"> arasındaki davanın yapılan muhakemesi sonunda mahalli mahkemece verilen hükmün </w:t>
      </w:r>
      <w:proofErr w:type="spellStart"/>
      <w:r w:rsidRPr="00B40D12">
        <w:rPr>
          <w:rFonts w:ascii="Times New Roman" w:eastAsia="Times New Roman" w:hAnsi="Times New Roman" w:cs="Times New Roman"/>
          <w:sz w:val="24"/>
          <w:szCs w:val="24"/>
          <w:lang w:eastAsia="tr-TR"/>
        </w:rPr>
        <w:t>temyizenmürafaa</w:t>
      </w:r>
      <w:proofErr w:type="spellEnd"/>
      <w:r w:rsidRPr="00B40D12">
        <w:rPr>
          <w:rFonts w:ascii="Times New Roman" w:eastAsia="Times New Roman" w:hAnsi="Times New Roman" w:cs="Times New Roman"/>
          <w:sz w:val="24"/>
          <w:szCs w:val="24"/>
          <w:lang w:eastAsia="tr-TR"/>
        </w:rPr>
        <w:t xml:space="preserve"> icrası suretiyle tetkiki istenilmekle, dosyadaki bütün kağıtlar okunup, gereği görüşülüp düşünüldü: </w:t>
      </w:r>
    </w:p>
    <w:p w:rsidR="00B40D12" w:rsidRPr="00B40D12" w:rsidRDefault="00B40D12" w:rsidP="00B40D12">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40D12">
        <w:rPr>
          <w:rFonts w:ascii="Times New Roman" w:eastAsia="Times New Roman" w:hAnsi="Times New Roman" w:cs="Times New Roman"/>
          <w:b/>
          <w:bCs/>
          <w:sz w:val="24"/>
          <w:szCs w:val="24"/>
          <w:lang w:eastAsia="tr-TR"/>
        </w:rPr>
        <w:t xml:space="preserve">KARAR : </w:t>
      </w:r>
      <w:r w:rsidRPr="00B40D12">
        <w:rPr>
          <w:rFonts w:ascii="Times New Roman" w:eastAsia="Times New Roman" w:hAnsi="Times New Roman" w:cs="Times New Roman"/>
          <w:sz w:val="24"/>
          <w:szCs w:val="24"/>
          <w:lang w:eastAsia="tr-TR"/>
        </w:rPr>
        <w:t>Davalı</w:t>
      </w:r>
      <w:proofErr w:type="gramEnd"/>
      <w:r w:rsidRPr="00B40D12">
        <w:rPr>
          <w:rFonts w:ascii="Times New Roman" w:eastAsia="Times New Roman" w:hAnsi="Times New Roman" w:cs="Times New Roman"/>
          <w:sz w:val="24"/>
          <w:szCs w:val="24"/>
          <w:lang w:eastAsia="tr-TR"/>
        </w:rPr>
        <w:t xml:space="preserve">, mütekabil boşanma davası açmış, mütekabil boşanma davasında; zina, olmazsa hayata kast, bu da olmazsa pek kötü davranış, bunun da kabul edilmemesi halinde haysiyetsiz hayat sürme, bu da kabul edilmediği takdirde evlilik birliğinin temelinden sarsılması sebebiyle boşanmalarına karar verilmesini istemiştir. Zina, hayata kast, pek kötü muamele ve haysiyetsiz hayat sürme özel boşanma sebebi yanında genel boşanma ( TMK m. </w:t>
      </w:r>
      <w:hyperlink r:id="rId18" w:anchor="166" w:tooltip="İlgili maddeyi görmek için tıklayınız" w:history="1">
        <w:r w:rsidRPr="00B40D12">
          <w:rPr>
            <w:rFonts w:ascii="Times New Roman" w:eastAsia="Times New Roman" w:hAnsi="Times New Roman" w:cs="Times New Roman"/>
            <w:color w:val="0000FF"/>
            <w:sz w:val="24"/>
            <w:szCs w:val="24"/>
            <w:u w:val="single"/>
            <w:lang w:eastAsia="tr-TR"/>
          </w:rPr>
          <w:t>166</w:t>
        </w:r>
      </w:hyperlink>
      <w:r w:rsidRPr="00B40D12">
        <w:rPr>
          <w:rFonts w:ascii="Times New Roman" w:eastAsia="Times New Roman" w:hAnsi="Times New Roman" w:cs="Times New Roman"/>
          <w:sz w:val="24"/>
          <w:szCs w:val="24"/>
          <w:lang w:eastAsia="tr-TR"/>
        </w:rPr>
        <w:t xml:space="preserve">/1 ) sebebi de oluşturur. Böyle bir durum karşısında kalan eş, dilerse bu özel sebeplerin yanında genel sebebe, dilerse birine veya birkaçına birlikte dayanarak boşanma talep edebilir. </w:t>
      </w:r>
      <w:proofErr w:type="gramStart"/>
      <w:r w:rsidRPr="00B40D12">
        <w:rPr>
          <w:rFonts w:ascii="Times New Roman" w:eastAsia="Times New Roman" w:hAnsi="Times New Roman" w:cs="Times New Roman"/>
          <w:sz w:val="24"/>
          <w:szCs w:val="24"/>
          <w:lang w:eastAsia="tr-TR"/>
        </w:rPr>
        <w:t xml:space="preserve">Hem özel hem de genel sebebe dayanılarak boşanma davası açılmış ise, doğuracakları hukuki sonuçlar farklı olacağından öncelikle özel boşanma sebeplerinin bulunup bulunmadığı belirlenmeli, özel sebep varsa, bu sebebe dayanılarak, özel boşanma sebeplerinin gerçekleşmemesi veya özel sebebe dayalı dava hakkının düşmüş olması halinde, deliller, genel boşanma sebebi çerçevesinde değerlendirilerek sonucuna göre karar verilmelidir. </w:t>
      </w:r>
      <w:proofErr w:type="gramEnd"/>
      <w:r w:rsidRPr="00B40D12">
        <w:rPr>
          <w:rFonts w:ascii="Times New Roman" w:eastAsia="Times New Roman" w:hAnsi="Times New Roman" w:cs="Times New Roman"/>
          <w:sz w:val="24"/>
          <w:szCs w:val="24"/>
          <w:lang w:eastAsia="tr-TR"/>
        </w:rPr>
        <w:t xml:space="preserve">Toplanan delillerin öncelikle özel boşanma sebepleri bakımından değerlendirilip, sonucu uyarınca karar verilmesi gerekirken, bu husus gözetilmeden yazılı şekilde hüküm kurulması doğru bulunmamıştır. </w:t>
      </w:r>
    </w:p>
    <w:p w:rsidR="00B40D12" w:rsidRPr="00B40D12" w:rsidRDefault="00B40D12" w:rsidP="00B40D12">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40D12">
        <w:rPr>
          <w:rFonts w:ascii="Times New Roman" w:eastAsia="Times New Roman" w:hAnsi="Times New Roman" w:cs="Times New Roman"/>
          <w:b/>
          <w:bCs/>
          <w:sz w:val="24"/>
          <w:szCs w:val="24"/>
          <w:lang w:eastAsia="tr-TR"/>
        </w:rPr>
        <w:t xml:space="preserve">SONUÇ : </w:t>
      </w:r>
      <w:r w:rsidRPr="00B40D12">
        <w:rPr>
          <w:rFonts w:ascii="Times New Roman" w:eastAsia="Times New Roman" w:hAnsi="Times New Roman" w:cs="Times New Roman"/>
          <w:sz w:val="24"/>
          <w:szCs w:val="24"/>
          <w:lang w:eastAsia="tr-TR"/>
        </w:rPr>
        <w:t>Temyiz</w:t>
      </w:r>
      <w:proofErr w:type="gramEnd"/>
      <w:r w:rsidRPr="00B40D12">
        <w:rPr>
          <w:rFonts w:ascii="Times New Roman" w:eastAsia="Times New Roman" w:hAnsi="Times New Roman" w:cs="Times New Roman"/>
          <w:sz w:val="24"/>
          <w:szCs w:val="24"/>
          <w:lang w:eastAsia="tr-TR"/>
        </w:rPr>
        <w:t xml:space="preserve"> edilen hükmün yukarıda gösterilen sebeple ( BOZULMASINA ), bozma sebebine göre davalı-mütekabil davacının sair temyiz itirazları ile davacı-karşılık davalının temyiz itirazlarının incelenmesine yer olmadığına, istek halinde temyiz peşin harcının </w:t>
      </w:r>
      <w:r w:rsidRPr="00B40D12">
        <w:rPr>
          <w:rFonts w:ascii="Times New Roman" w:eastAsia="Times New Roman" w:hAnsi="Times New Roman" w:cs="Times New Roman"/>
          <w:sz w:val="24"/>
          <w:szCs w:val="24"/>
          <w:lang w:eastAsia="tr-TR"/>
        </w:rPr>
        <w:lastRenderedPageBreak/>
        <w:t xml:space="preserve">yatıranlara geri verilmesine, işbu kararın tebliğinden itibaren 15 gün içinde karar düzeltme yolu açık olmak üzere, 29.06.2010 gününde oybirliğiyle karar verildi. </w:t>
      </w:r>
    </w:p>
    <w:p w:rsidR="008C42A5" w:rsidRDefault="008C42A5">
      <w:bookmarkStart w:id="1" w:name="_GoBack"/>
      <w:bookmarkEnd w:id="1"/>
    </w:p>
    <w:p w:rsidR="0070371B" w:rsidRDefault="0070371B"/>
    <w:sectPr w:rsidR="0070371B" w:rsidSect="006F0CB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01CBA"/>
    <w:multiLevelType w:val="multilevel"/>
    <w:tmpl w:val="BDE2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F33B6E"/>
    <w:multiLevelType w:val="multilevel"/>
    <w:tmpl w:val="3A34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C73F2"/>
    <w:rsid w:val="000B3036"/>
    <w:rsid w:val="002459F4"/>
    <w:rsid w:val="004832E8"/>
    <w:rsid w:val="004A65C0"/>
    <w:rsid w:val="004E0816"/>
    <w:rsid w:val="005C73F2"/>
    <w:rsid w:val="00691F54"/>
    <w:rsid w:val="006F0CBE"/>
    <w:rsid w:val="0070371B"/>
    <w:rsid w:val="00724525"/>
    <w:rsid w:val="008A6EC6"/>
    <w:rsid w:val="008C42A5"/>
    <w:rsid w:val="00A84F95"/>
    <w:rsid w:val="00AB6DD8"/>
    <w:rsid w:val="00B40D12"/>
    <w:rsid w:val="00BB28F5"/>
    <w:rsid w:val="00CC21CB"/>
    <w:rsid w:val="00CE4AF8"/>
    <w:rsid w:val="00EF61B4"/>
    <w:rsid w:val="00F360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CBE"/>
  </w:style>
  <w:style w:type="paragraph" w:styleId="Balk4">
    <w:name w:val="heading 4"/>
    <w:basedOn w:val="Normal"/>
    <w:link w:val="Balk4Char"/>
    <w:uiPriority w:val="9"/>
    <w:qFormat/>
    <w:rsid w:val="00B40D12"/>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B40D12"/>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B40D12"/>
    <w:rPr>
      <w:color w:val="0000FF"/>
      <w:u w:val="single"/>
    </w:rPr>
  </w:style>
  <w:style w:type="paragraph" w:styleId="NormalWeb">
    <w:name w:val="Normal (Web)"/>
    <w:basedOn w:val="Normal"/>
    <w:uiPriority w:val="99"/>
    <w:semiHidden/>
    <w:unhideWhenUsed/>
    <w:rsid w:val="00B40D1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B40D12"/>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B40D12"/>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B40D12"/>
    <w:rPr>
      <w:color w:val="0000FF"/>
      <w:u w:val="single"/>
    </w:rPr>
  </w:style>
  <w:style w:type="paragraph" w:styleId="NormalWeb">
    <w:name w:val="Normal (Web)"/>
    <w:basedOn w:val="Normal"/>
    <w:uiPriority w:val="99"/>
    <w:semiHidden/>
    <w:unhideWhenUsed/>
    <w:rsid w:val="00B40D1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21119772">
      <w:bodyDiv w:val="1"/>
      <w:marLeft w:val="0"/>
      <w:marRight w:val="0"/>
      <w:marTop w:val="0"/>
      <w:marBottom w:val="0"/>
      <w:divBdr>
        <w:top w:val="none" w:sz="0" w:space="0" w:color="auto"/>
        <w:left w:val="none" w:sz="0" w:space="0" w:color="auto"/>
        <w:bottom w:val="none" w:sz="0" w:space="0" w:color="auto"/>
        <w:right w:val="none" w:sz="0" w:space="0" w:color="auto"/>
      </w:divBdr>
    </w:div>
    <w:div w:id="862939169">
      <w:bodyDiv w:val="1"/>
      <w:marLeft w:val="0"/>
      <w:marRight w:val="0"/>
      <w:marTop w:val="0"/>
      <w:marBottom w:val="0"/>
      <w:divBdr>
        <w:top w:val="none" w:sz="0" w:space="0" w:color="auto"/>
        <w:left w:val="none" w:sz="0" w:space="0" w:color="auto"/>
        <w:bottom w:val="none" w:sz="0" w:space="0" w:color="auto"/>
        <w:right w:val="none" w:sz="0" w:space="0" w:color="auto"/>
      </w:divBdr>
    </w:div>
    <w:div w:id="1249196848">
      <w:bodyDiv w:val="1"/>
      <w:marLeft w:val="0"/>
      <w:marRight w:val="0"/>
      <w:marTop w:val="0"/>
      <w:marBottom w:val="0"/>
      <w:divBdr>
        <w:top w:val="none" w:sz="0" w:space="0" w:color="auto"/>
        <w:left w:val="none" w:sz="0" w:space="0" w:color="auto"/>
        <w:bottom w:val="none" w:sz="0" w:space="0" w:color="auto"/>
        <w:right w:val="none" w:sz="0" w:space="0" w:color="auto"/>
      </w:divBdr>
    </w:div>
    <w:div w:id="1387682707">
      <w:bodyDiv w:val="1"/>
      <w:marLeft w:val="0"/>
      <w:marRight w:val="0"/>
      <w:marTop w:val="0"/>
      <w:marBottom w:val="0"/>
      <w:divBdr>
        <w:top w:val="none" w:sz="0" w:space="0" w:color="auto"/>
        <w:left w:val="none" w:sz="0" w:space="0" w:color="auto"/>
        <w:bottom w:val="none" w:sz="0" w:space="0" w:color="auto"/>
        <w:right w:val="none" w:sz="0" w:space="0" w:color="auto"/>
      </w:divBdr>
    </w:div>
    <w:div w:id="1773547338">
      <w:bodyDiv w:val="1"/>
      <w:marLeft w:val="0"/>
      <w:marRight w:val="0"/>
      <w:marTop w:val="0"/>
      <w:marBottom w:val="0"/>
      <w:divBdr>
        <w:top w:val="none" w:sz="0" w:space="0" w:color="auto"/>
        <w:left w:val="none" w:sz="0" w:space="0" w:color="auto"/>
        <w:bottom w:val="none" w:sz="0" w:space="0" w:color="auto"/>
        <w:right w:val="none" w:sz="0" w:space="0" w:color="auto"/>
      </w:divBdr>
    </w:div>
    <w:div w:id="177454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4721.htm" TargetMode="External"/><Relationship Id="rId13" Type="http://schemas.openxmlformats.org/officeDocument/2006/relationships/hyperlink" Target="http://www.kazanci.com/kho2/ibb/files/tc4721.htm" TargetMode="External"/><Relationship Id="rId18" Type="http://schemas.openxmlformats.org/officeDocument/2006/relationships/hyperlink" Target="mk:@MSITStore:C:\Program%20Files\KAZANCI\ibb\contents.chm::/tc4721.ht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www.kazanci.com/kho2/ibb/files/tc4721.htm" TargetMode="External"/><Relationship Id="rId12" Type="http://schemas.openxmlformats.org/officeDocument/2006/relationships/hyperlink" Target="http://www.kazanci.com/kho2/ibb/files/tc4721.htm" TargetMode="External"/><Relationship Id="rId17" Type="http://schemas.openxmlformats.org/officeDocument/2006/relationships/hyperlink" Target="mk:@MSITStore:C:\Program%20Files\KAZANCI\ibb\contents.chm::/tc4721.htm" TargetMode="External"/><Relationship Id="rId2" Type="http://schemas.openxmlformats.org/officeDocument/2006/relationships/styles" Target="styles.xml"/><Relationship Id="rId16" Type="http://schemas.openxmlformats.org/officeDocument/2006/relationships/hyperlink" Target="mk:@MSITStore:C:\Program%20Files\KAZANCI\ibb\contents.chm::/tc4721.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azanci.com/kho2/ibb/files/tc4721.htm" TargetMode="External"/><Relationship Id="rId11" Type="http://schemas.openxmlformats.org/officeDocument/2006/relationships/hyperlink" Target="http://www.kazanci.com/kho2/ibb/files/tc4721.htm" TargetMode="External"/><Relationship Id="rId5" Type="http://schemas.openxmlformats.org/officeDocument/2006/relationships/hyperlink" Target="http://www.kazanci.com/kho2/ibb/files/tc4721.htm" TargetMode="External"/><Relationship Id="rId15" Type="http://schemas.openxmlformats.org/officeDocument/2006/relationships/hyperlink" Target="mk:@MSITStore:C:\Program%20Files\KAZANCI\ibb\contents.chm::/tc4721.htm" TargetMode="External"/><Relationship Id="rId10" Type="http://schemas.openxmlformats.org/officeDocument/2006/relationships/hyperlink" Target="http://www.kazanci.com/kho2/ibb/files/tc1086.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azanci.com/kho2/ibb/files/tc4721.htm" TargetMode="External"/><Relationship Id="rId14" Type="http://schemas.openxmlformats.org/officeDocument/2006/relationships/hyperlink" Target="mk:@MSITStore:C:\Program%20Files\KAZANCI\ibb\contents.chm::/tc472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2924</Words>
  <Characters>16670</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12</cp:revision>
  <dcterms:created xsi:type="dcterms:W3CDTF">2015-04-30T14:25:00Z</dcterms:created>
  <dcterms:modified xsi:type="dcterms:W3CDTF">2018-11-15T17:21:00Z</dcterms:modified>
</cp:coreProperties>
</file>